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37" w:rsidRPr="0025247E" w:rsidRDefault="00950137" w:rsidP="00950137">
      <w:pPr>
        <w:rPr>
          <w:b/>
          <w:sz w:val="22"/>
          <w:szCs w:val="22"/>
          <w:lang w:val="eu-ES"/>
        </w:rPr>
      </w:pPr>
      <w:r w:rsidRPr="0025247E">
        <w:rPr>
          <w:b/>
          <w:sz w:val="22"/>
          <w:szCs w:val="22"/>
          <w:lang w:val="eu-ES"/>
        </w:rPr>
        <w:t>ACTA DE LA REUNION PARA LA APERTURA DE LAS PROPUESTAS PRESENTADAS PARA LA EJECUCION DE LAS OBRAS DE ACONDICIONAMIENTO  DE UN MODULO PSICOGERIATRICO Y LA ADECUACION DE UN BAÑO GERIATRICO EN LA RESIDENCIA DE ANCIANOS MIZPIRUALDE</w:t>
      </w:r>
    </w:p>
    <w:p w:rsidR="00950137" w:rsidRPr="0025247E" w:rsidRDefault="00950137" w:rsidP="00950137">
      <w:pPr>
        <w:rPr>
          <w:sz w:val="22"/>
          <w:szCs w:val="22"/>
          <w:lang w:val="eu-ES"/>
        </w:rPr>
      </w:pPr>
    </w:p>
    <w:p w:rsidR="00950137" w:rsidRPr="0025247E" w:rsidRDefault="00950137" w:rsidP="00950137">
      <w:pPr>
        <w:rPr>
          <w:sz w:val="22"/>
          <w:szCs w:val="22"/>
          <w:lang w:val="eu-ES"/>
        </w:rPr>
      </w:pPr>
      <w:proofErr w:type="spellStart"/>
      <w:r w:rsidRPr="0025247E">
        <w:rPr>
          <w:sz w:val="22"/>
          <w:szCs w:val="22"/>
          <w:lang w:val="eu-ES"/>
        </w:rPr>
        <w:t>El</w:t>
      </w:r>
      <w:proofErr w:type="spellEnd"/>
      <w:r w:rsidRPr="0025247E">
        <w:rPr>
          <w:sz w:val="22"/>
          <w:szCs w:val="22"/>
          <w:lang w:val="eu-ES"/>
        </w:rPr>
        <w:t xml:space="preserve"> 17 de </w:t>
      </w:r>
      <w:proofErr w:type="spellStart"/>
      <w:r w:rsidRPr="0025247E">
        <w:rPr>
          <w:sz w:val="22"/>
          <w:szCs w:val="22"/>
          <w:lang w:val="eu-ES"/>
        </w:rPr>
        <w:t>agosto</w:t>
      </w:r>
      <w:proofErr w:type="spellEnd"/>
      <w:r w:rsidRPr="0025247E">
        <w:rPr>
          <w:sz w:val="22"/>
          <w:szCs w:val="22"/>
          <w:lang w:val="eu-ES"/>
        </w:rPr>
        <w:t xml:space="preserve"> de 2012 </w:t>
      </w:r>
      <w:proofErr w:type="spellStart"/>
      <w:r w:rsidRPr="0025247E">
        <w:rPr>
          <w:sz w:val="22"/>
          <w:szCs w:val="22"/>
          <w:lang w:val="eu-ES"/>
        </w:rPr>
        <w:t>se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reunen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en</w:t>
      </w:r>
      <w:proofErr w:type="spellEnd"/>
      <w:r w:rsidRPr="0025247E">
        <w:rPr>
          <w:sz w:val="22"/>
          <w:szCs w:val="22"/>
          <w:lang w:val="eu-ES"/>
        </w:rPr>
        <w:t xml:space="preserve"> la </w:t>
      </w:r>
      <w:r>
        <w:rPr>
          <w:sz w:val="22"/>
          <w:szCs w:val="22"/>
          <w:lang w:val="eu-ES"/>
        </w:rPr>
        <w:t>r</w:t>
      </w:r>
      <w:r w:rsidRPr="0025247E">
        <w:rPr>
          <w:sz w:val="22"/>
          <w:szCs w:val="22"/>
          <w:lang w:val="eu-ES"/>
        </w:rPr>
        <w:t xml:space="preserve">esidencia de </w:t>
      </w:r>
      <w:r>
        <w:rPr>
          <w:sz w:val="22"/>
          <w:szCs w:val="22"/>
          <w:lang w:val="eu-ES"/>
        </w:rPr>
        <w:t>a</w:t>
      </w:r>
      <w:r w:rsidRPr="0025247E">
        <w:rPr>
          <w:sz w:val="22"/>
          <w:szCs w:val="22"/>
          <w:lang w:val="eu-ES"/>
        </w:rPr>
        <w:t xml:space="preserve">ncianos </w:t>
      </w:r>
      <w:proofErr w:type="spellStart"/>
      <w:r w:rsidRPr="0025247E">
        <w:rPr>
          <w:sz w:val="22"/>
          <w:szCs w:val="22"/>
          <w:lang w:val="eu-ES"/>
        </w:rPr>
        <w:t>Mizpìrualde</w:t>
      </w:r>
      <w:proofErr w:type="spellEnd"/>
      <w:r w:rsidRPr="0025247E">
        <w:rPr>
          <w:sz w:val="22"/>
          <w:szCs w:val="22"/>
          <w:lang w:val="eu-ES"/>
        </w:rPr>
        <w:t>, Jesus Elorza</w:t>
      </w:r>
      <w:r>
        <w:rPr>
          <w:sz w:val="22"/>
          <w:szCs w:val="22"/>
          <w:lang w:val="eu-ES"/>
        </w:rPr>
        <w:t xml:space="preserve"> Olabe</w:t>
      </w:r>
      <w:r w:rsidRPr="0025247E">
        <w:rPr>
          <w:sz w:val="22"/>
          <w:szCs w:val="22"/>
          <w:lang w:val="eu-ES"/>
        </w:rPr>
        <w:t xml:space="preserve">, Presidente de la Junta de </w:t>
      </w:r>
      <w:proofErr w:type="spellStart"/>
      <w:r w:rsidRPr="0025247E">
        <w:rPr>
          <w:sz w:val="22"/>
          <w:szCs w:val="22"/>
          <w:lang w:val="eu-ES"/>
        </w:rPr>
        <w:t>Gobierno</w:t>
      </w:r>
      <w:proofErr w:type="spellEnd"/>
      <w:r>
        <w:rPr>
          <w:sz w:val="22"/>
          <w:szCs w:val="22"/>
          <w:lang w:val="eu-ES"/>
        </w:rPr>
        <w:t xml:space="preserve"> de la </w:t>
      </w:r>
      <w:proofErr w:type="spellStart"/>
      <w:r>
        <w:rPr>
          <w:sz w:val="22"/>
          <w:szCs w:val="22"/>
          <w:lang w:val="eu-ES"/>
        </w:rPr>
        <w:t>citada</w:t>
      </w:r>
      <w:proofErr w:type="spellEnd"/>
      <w:r>
        <w:rPr>
          <w:sz w:val="22"/>
          <w:szCs w:val="22"/>
          <w:lang w:val="eu-ES"/>
        </w:rPr>
        <w:t xml:space="preserve"> residencia</w:t>
      </w:r>
      <w:r w:rsidRPr="0025247E">
        <w:rPr>
          <w:sz w:val="22"/>
          <w:szCs w:val="22"/>
          <w:lang w:val="eu-ES"/>
        </w:rPr>
        <w:t xml:space="preserve"> y Gregorio Iruretagoyena Etxaniz, </w:t>
      </w:r>
      <w:proofErr w:type="spellStart"/>
      <w:r w:rsidRPr="0025247E">
        <w:rPr>
          <w:sz w:val="22"/>
          <w:szCs w:val="22"/>
          <w:lang w:val="eu-ES"/>
        </w:rPr>
        <w:t>Administrador</w:t>
      </w:r>
      <w:proofErr w:type="spellEnd"/>
      <w:r w:rsidRPr="0025247E">
        <w:rPr>
          <w:sz w:val="22"/>
          <w:szCs w:val="22"/>
          <w:lang w:val="eu-ES"/>
        </w:rPr>
        <w:t xml:space="preserve"> del </w:t>
      </w:r>
      <w:proofErr w:type="spellStart"/>
      <w:r w:rsidRPr="0025247E">
        <w:rPr>
          <w:sz w:val="22"/>
          <w:szCs w:val="22"/>
          <w:lang w:val="eu-ES"/>
        </w:rPr>
        <w:t>centro</w:t>
      </w:r>
      <w:proofErr w:type="spellEnd"/>
      <w:r w:rsidRPr="0025247E">
        <w:rPr>
          <w:sz w:val="22"/>
          <w:szCs w:val="22"/>
          <w:lang w:val="eu-ES"/>
        </w:rPr>
        <w:t xml:space="preserve"> y </w:t>
      </w:r>
      <w:proofErr w:type="spellStart"/>
      <w:r w:rsidRPr="0025247E">
        <w:rPr>
          <w:sz w:val="22"/>
          <w:szCs w:val="22"/>
          <w:lang w:val="eu-ES"/>
        </w:rPr>
        <w:t>Secretario</w:t>
      </w:r>
      <w:proofErr w:type="spellEnd"/>
      <w:r w:rsidRPr="0025247E">
        <w:rPr>
          <w:sz w:val="22"/>
          <w:szCs w:val="22"/>
          <w:lang w:val="eu-ES"/>
        </w:rPr>
        <w:t xml:space="preserve"> de la Junta de </w:t>
      </w:r>
      <w:proofErr w:type="spellStart"/>
      <w:r w:rsidRPr="0025247E">
        <w:rPr>
          <w:sz w:val="22"/>
          <w:szCs w:val="22"/>
          <w:lang w:val="eu-ES"/>
        </w:rPr>
        <w:t>Gobierno</w:t>
      </w:r>
      <w:proofErr w:type="spellEnd"/>
      <w:r w:rsidRPr="0025247E">
        <w:rPr>
          <w:sz w:val="22"/>
          <w:szCs w:val="22"/>
          <w:lang w:val="eu-ES"/>
        </w:rPr>
        <w:t xml:space="preserve"> para </w:t>
      </w:r>
      <w:proofErr w:type="spellStart"/>
      <w:r w:rsidRPr="0025247E">
        <w:rPr>
          <w:sz w:val="22"/>
          <w:szCs w:val="22"/>
          <w:lang w:val="eu-ES"/>
        </w:rPr>
        <w:t>abrir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los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sobres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que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contienen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las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propuestas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presentadas</w:t>
      </w:r>
      <w:proofErr w:type="spellEnd"/>
      <w:r w:rsidRPr="0025247E">
        <w:rPr>
          <w:sz w:val="22"/>
          <w:szCs w:val="22"/>
          <w:lang w:val="eu-ES"/>
        </w:rPr>
        <w:t xml:space="preserve"> para </w:t>
      </w:r>
      <w:proofErr w:type="spellStart"/>
      <w:r w:rsidRPr="0025247E">
        <w:rPr>
          <w:sz w:val="22"/>
          <w:szCs w:val="22"/>
          <w:lang w:val="eu-ES"/>
        </w:rPr>
        <w:t>llevar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cabo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las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obras</w:t>
      </w:r>
      <w:proofErr w:type="spellEnd"/>
      <w:r w:rsidRPr="0025247E">
        <w:rPr>
          <w:sz w:val="22"/>
          <w:szCs w:val="22"/>
          <w:lang w:val="eu-ES"/>
        </w:rPr>
        <w:t xml:space="preserve"> de </w:t>
      </w:r>
      <w:proofErr w:type="spellStart"/>
      <w:r w:rsidRPr="0025247E">
        <w:rPr>
          <w:sz w:val="22"/>
          <w:szCs w:val="22"/>
          <w:lang w:val="eu-ES"/>
        </w:rPr>
        <w:t>acondicionamiento</w:t>
      </w:r>
      <w:proofErr w:type="spellEnd"/>
      <w:r w:rsidRPr="0025247E">
        <w:rPr>
          <w:sz w:val="22"/>
          <w:szCs w:val="22"/>
          <w:lang w:val="eu-ES"/>
        </w:rPr>
        <w:t xml:space="preserve">  de </w:t>
      </w:r>
      <w:proofErr w:type="spellStart"/>
      <w:r w:rsidRPr="0025247E">
        <w:rPr>
          <w:sz w:val="22"/>
          <w:szCs w:val="22"/>
          <w:lang w:val="eu-ES"/>
        </w:rPr>
        <w:t>un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modulo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psicogeriatrico</w:t>
      </w:r>
      <w:proofErr w:type="spellEnd"/>
      <w:r w:rsidRPr="0025247E">
        <w:rPr>
          <w:sz w:val="22"/>
          <w:szCs w:val="22"/>
          <w:lang w:val="eu-ES"/>
        </w:rPr>
        <w:t xml:space="preserve">, </w:t>
      </w:r>
      <w:proofErr w:type="spellStart"/>
      <w:r w:rsidRPr="0025247E">
        <w:rPr>
          <w:sz w:val="22"/>
          <w:szCs w:val="22"/>
          <w:lang w:val="eu-ES"/>
        </w:rPr>
        <w:t>asi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como</w:t>
      </w:r>
      <w:proofErr w:type="spellEnd"/>
      <w:r w:rsidRPr="0025247E">
        <w:rPr>
          <w:sz w:val="22"/>
          <w:szCs w:val="22"/>
          <w:lang w:val="eu-ES"/>
        </w:rPr>
        <w:t xml:space="preserve"> la </w:t>
      </w:r>
      <w:proofErr w:type="spellStart"/>
      <w:r w:rsidRPr="0025247E">
        <w:rPr>
          <w:sz w:val="22"/>
          <w:szCs w:val="22"/>
          <w:lang w:val="eu-ES"/>
        </w:rPr>
        <w:t>adecuación</w:t>
      </w:r>
      <w:proofErr w:type="spellEnd"/>
      <w:r w:rsidRPr="0025247E">
        <w:rPr>
          <w:sz w:val="22"/>
          <w:szCs w:val="22"/>
          <w:lang w:val="eu-ES"/>
        </w:rPr>
        <w:t xml:space="preserve"> de </w:t>
      </w:r>
      <w:proofErr w:type="spellStart"/>
      <w:r w:rsidRPr="0025247E">
        <w:rPr>
          <w:sz w:val="22"/>
          <w:szCs w:val="22"/>
          <w:lang w:val="eu-ES"/>
        </w:rPr>
        <w:t>un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baño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geriatrico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en</w:t>
      </w:r>
      <w:proofErr w:type="spellEnd"/>
      <w:r w:rsidRPr="0025247E">
        <w:rPr>
          <w:sz w:val="22"/>
          <w:szCs w:val="22"/>
          <w:lang w:val="eu-ES"/>
        </w:rPr>
        <w:t xml:space="preserve"> la residencia de ancianos Mizpirualde.</w:t>
      </w:r>
    </w:p>
    <w:p w:rsidR="00950137" w:rsidRDefault="00950137" w:rsidP="00950137">
      <w:pPr>
        <w:suppressAutoHyphens/>
        <w:rPr>
          <w:rFonts w:cs="Arial"/>
          <w:sz w:val="22"/>
          <w:szCs w:val="22"/>
          <w:lang w:val="eu-ES"/>
        </w:rPr>
      </w:pPr>
      <w:proofErr w:type="spellStart"/>
      <w:r w:rsidRPr="0025247E">
        <w:rPr>
          <w:sz w:val="22"/>
          <w:szCs w:val="22"/>
          <w:lang w:val="eu-ES"/>
        </w:rPr>
        <w:t>Antes</w:t>
      </w:r>
      <w:proofErr w:type="spellEnd"/>
      <w:r w:rsidRPr="0025247E">
        <w:rPr>
          <w:sz w:val="22"/>
          <w:szCs w:val="22"/>
          <w:lang w:val="eu-ES"/>
        </w:rPr>
        <w:t xml:space="preserve"> de </w:t>
      </w:r>
      <w:proofErr w:type="spellStart"/>
      <w:r w:rsidRPr="0025247E">
        <w:rPr>
          <w:sz w:val="22"/>
          <w:szCs w:val="22"/>
          <w:lang w:val="eu-ES"/>
        </w:rPr>
        <w:t>proceder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con</w:t>
      </w:r>
      <w:proofErr w:type="spellEnd"/>
      <w:r w:rsidRPr="0025247E">
        <w:rPr>
          <w:sz w:val="22"/>
          <w:szCs w:val="22"/>
          <w:lang w:val="eu-ES"/>
        </w:rPr>
        <w:t xml:space="preserve"> la </w:t>
      </w:r>
      <w:proofErr w:type="spellStart"/>
      <w:r w:rsidRPr="0025247E">
        <w:rPr>
          <w:sz w:val="22"/>
          <w:szCs w:val="22"/>
          <w:lang w:val="eu-ES"/>
        </w:rPr>
        <w:t>apertura</w:t>
      </w:r>
      <w:proofErr w:type="spellEnd"/>
      <w:r w:rsidRPr="0025247E">
        <w:rPr>
          <w:sz w:val="22"/>
          <w:szCs w:val="22"/>
          <w:lang w:val="eu-ES"/>
        </w:rPr>
        <w:t xml:space="preserve"> de </w:t>
      </w:r>
      <w:proofErr w:type="spellStart"/>
      <w:r w:rsidRPr="0025247E">
        <w:rPr>
          <w:sz w:val="22"/>
          <w:szCs w:val="22"/>
          <w:lang w:val="eu-ES"/>
        </w:rPr>
        <w:t>los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sobres</w:t>
      </w:r>
      <w:proofErr w:type="spellEnd"/>
      <w:r w:rsidRPr="0025247E">
        <w:rPr>
          <w:sz w:val="22"/>
          <w:szCs w:val="22"/>
          <w:lang w:val="eu-ES"/>
        </w:rPr>
        <w:t xml:space="preserve"> “A</w:t>
      </w:r>
      <w:proofErr w:type="spellStart"/>
      <w:r w:rsidRPr="0025247E">
        <w:rPr>
          <w:sz w:val="22"/>
          <w:szCs w:val="22"/>
          <w:lang w:val="eu-ES"/>
        </w:rPr>
        <w:t>”</w:t>
      </w:r>
      <w:proofErr w:type="spellEnd"/>
      <w:r w:rsidRPr="0025247E">
        <w:rPr>
          <w:sz w:val="22"/>
          <w:szCs w:val="22"/>
          <w:lang w:val="eu-ES"/>
        </w:rPr>
        <w:t xml:space="preserve">, </w:t>
      </w:r>
      <w:proofErr w:type="spellStart"/>
      <w:r w:rsidRPr="0025247E">
        <w:rPr>
          <w:sz w:val="22"/>
          <w:szCs w:val="22"/>
          <w:lang w:val="eu-ES"/>
        </w:rPr>
        <w:t>el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secretario</w:t>
      </w:r>
      <w:proofErr w:type="spellEnd"/>
      <w:r w:rsidRPr="0025247E">
        <w:rPr>
          <w:sz w:val="22"/>
          <w:szCs w:val="22"/>
          <w:lang w:val="eu-ES"/>
        </w:rPr>
        <w:t xml:space="preserve"> informa </w:t>
      </w:r>
      <w:proofErr w:type="spellStart"/>
      <w:r w:rsidRPr="0025247E">
        <w:rPr>
          <w:sz w:val="22"/>
          <w:szCs w:val="22"/>
          <w:lang w:val="eu-ES"/>
        </w:rPr>
        <w:t>que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el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acto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estaba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pensado</w:t>
      </w:r>
      <w:proofErr w:type="spellEnd"/>
      <w:r w:rsidRPr="0025247E">
        <w:rPr>
          <w:sz w:val="22"/>
          <w:szCs w:val="22"/>
          <w:lang w:val="eu-ES"/>
        </w:rPr>
        <w:t xml:space="preserve"> para </w:t>
      </w:r>
      <w:proofErr w:type="spellStart"/>
      <w:r w:rsidRPr="0025247E">
        <w:rPr>
          <w:sz w:val="22"/>
          <w:szCs w:val="22"/>
          <w:lang w:val="eu-ES"/>
        </w:rPr>
        <w:t>el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día</w:t>
      </w:r>
      <w:proofErr w:type="spellEnd"/>
      <w:r w:rsidRPr="0025247E">
        <w:rPr>
          <w:sz w:val="22"/>
          <w:szCs w:val="22"/>
          <w:lang w:val="eu-ES"/>
        </w:rPr>
        <w:t xml:space="preserve"> 16 de </w:t>
      </w:r>
      <w:proofErr w:type="spellStart"/>
      <w:r w:rsidRPr="0025247E">
        <w:rPr>
          <w:sz w:val="22"/>
          <w:szCs w:val="22"/>
          <w:lang w:val="eu-ES"/>
        </w:rPr>
        <w:t>agosto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pero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que</w:t>
      </w:r>
      <w:proofErr w:type="spellEnd"/>
      <w:r w:rsidRPr="0025247E">
        <w:rPr>
          <w:sz w:val="22"/>
          <w:szCs w:val="22"/>
          <w:lang w:val="eu-ES"/>
        </w:rPr>
        <w:t xml:space="preserve"> la </w:t>
      </w:r>
      <w:proofErr w:type="spellStart"/>
      <w:r w:rsidRPr="0025247E">
        <w:rPr>
          <w:sz w:val="22"/>
          <w:szCs w:val="22"/>
          <w:lang w:val="eu-ES"/>
        </w:rPr>
        <w:t>propuesta</w:t>
      </w:r>
      <w:proofErr w:type="spellEnd"/>
      <w:r w:rsidRPr="0025247E">
        <w:rPr>
          <w:sz w:val="22"/>
          <w:szCs w:val="22"/>
          <w:lang w:val="eu-ES"/>
        </w:rPr>
        <w:t xml:space="preserve"> de la </w:t>
      </w:r>
      <w:proofErr w:type="spellStart"/>
      <w:r w:rsidRPr="0025247E">
        <w:rPr>
          <w:sz w:val="22"/>
          <w:szCs w:val="22"/>
          <w:lang w:val="eu-ES"/>
        </w:rPr>
        <w:t>empresa</w:t>
      </w:r>
      <w:proofErr w:type="spellEnd"/>
      <w:r w:rsidRPr="0025247E">
        <w:rPr>
          <w:sz w:val="22"/>
          <w:szCs w:val="22"/>
          <w:lang w:val="eu-ES"/>
        </w:rPr>
        <w:t xml:space="preserve"> “</w:t>
      </w:r>
      <w:proofErr w:type="spellStart"/>
      <w:r w:rsidRPr="0025247E">
        <w:rPr>
          <w:sz w:val="22"/>
          <w:szCs w:val="22"/>
          <w:lang w:val="eu-ES"/>
        </w:rPr>
        <w:t>Geo</w:t>
      </w:r>
      <w:proofErr w:type="spellEnd"/>
      <w:r w:rsidRPr="0025247E">
        <w:rPr>
          <w:sz w:val="22"/>
          <w:szCs w:val="22"/>
          <w:lang w:val="eu-ES"/>
        </w:rPr>
        <w:t xml:space="preserve">, </w:t>
      </w:r>
      <w:proofErr w:type="spellStart"/>
      <w:r w:rsidRPr="0025247E">
        <w:rPr>
          <w:sz w:val="22"/>
          <w:szCs w:val="22"/>
          <w:lang w:val="eu-ES"/>
        </w:rPr>
        <w:t>obras</w:t>
      </w:r>
      <w:proofErr w:type="spellEnd"/>
      <w:r w:rsidRPr="0025247E">
        <w:rPr>
          <w:sz w:val="22"/>
          <w:szCs w:val="22"/>
          <w:lang w:val="eu-ES"/>
        </w:rPr>
        <w:t xml:space="preserve"> y </w:t>
      </w:r>
      <w:proofErr w:type="spellStart"/>
      <w:r w:rsidRPr="0025247E">
        <w:rPr>
          <w:sz w:val="22"/>
          <w:szCs w:val="22"/>
          <w:lang w:val="eu-ES"/>
        </w:rPr>
        <w:t>servicios</w:t>
      </w:r>
      <w:proofErr w:type="spellEnd"/>
      <w:r w:rsidRPr="0025247E">
        <w:rPr>
          <w:sz w:val="22"/>
          <w:szCs w:val="22"/>
          <w:lang w:val="eu-ES"/>
        </w:rPr>
        <w:t xml:space="preserve">”, </w:t>
      </w:r>
      <w:proofErr w:type="spellStart"/>
      <w:r w:rsidRPr="0025247E">
        <w:rPr>
          <w:sz w:val="22"/>
          <w:szCs w:val="22"/>
          <w:lang w:val="eu-ES"/>
        </w:rPr>
        <w:t>enviada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por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correo</w:t>
      </w:r>
      <w:proofErr w:type="spellEnd"/>
      <w:r w:rsidRPr="0025247E">
        <w:rPr>
          <w:sz w:val="22"/>
          <w:szCs w:val="22"/>
          <w:lang w:val="eu-ES"/>
        </w:rPr>
        <w:t xml:space="preserve">, </w:t>
      </w:r>
      <w:proofErr w:type="spellStart"/>
      <w:r w:rsidRPr="0025247E">
        <w:rPr>
          <w:sz w:val="22"/>
          <w:szCs w:val="22"/>
          <w:lang w:val="eu-ES"/>
        </w:rPr>
        <w:t>llegó</w:t>
      </w:r>
      <w:proofErr w:type="spellEnd"/>
      <w:r w:rsidRPr="0025247E">
        <w:rPr>
          <w:sz w:val="22"/>
          <w:szCs w:val="22"/>
          <w:lang w:val="eu-ES"/>
        </w:rPr>
        <w:t xml:space="preserve"> ese </w:t>
      </w:r>
      <w:proofErr w:type="spellStart"/>
      <w:r w:rsidRPr="0025247E">
        <w:rPr>
          <w:sz w:val="22"/>
          <w:szCs w:val="22"/>
          <w:lang w:val="eu-ES"/>
        </w:rPr>
        <w:t>mismo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día</w:t>
      </w:r>
      <w:proofErr w:type="spellEnd"/>
      <w:r w:rsidRPr="0025247E">
        <w:rPr>
          <w:sz w:val="22"/>
          <w:szCs w:val="22"/>
          <w:lang w:val="eu-ES"/>
        </w:rPr>
        <w:t xml:space="preserve">, </w:t>
      </w:r>
      <w:proofErr w:type="spellStart"/>
      <w:r w:rsidRPr="0025247E">
        <w:rPr>
          <w:sz w:val="22"/>
          <w:szCs w:val="22"/>
          <w:lang w:val="eu-ES"/>
        </w:rPr>
        <w:t>por</w:t>
      </w:r>
      <w:proofErr w:type="spellEnd"/>
      <w:r w:rsidRPr="0025247E">
        <w:rPr>
          <w:sz w:val="22"/>
          <w:szCs w:val="22"/>
          <w:lang w:val="eu-ES"/>
        </w:rPr>
        <w:t xml:space="preserve"> lo </w:t>
      </w:r>
      <w:proofErr w:type="spellStart"/>
      <w:r w:rsidRPr="0025247E">
        <w:rPr>
          <w:sz w:val="22"/>
          <w:szCs w:val="22"/>
          <w:lang w:val="eu-ES"/>
        </w:rPr>
        <w:t>que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el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acto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se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retraso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un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día</w:t>
      </w:r>
      <w:proofErr w:type="spellEnd"/>
      <w:r w:rsidRPr="0025247E">
        <w:rPr>
          <w:sz w:val="22"/>
          <w:szCs w:val="22"/>
          <w:lang w:val="eu-ES"/>
        </w:rPr>
        <w:t xml:space="preserve">. Informa </w:t>
      </w:r>
      <w:proofErr w:type="spellStart"/>
      <w:r w:rsidRPr="0025247E">
        <w:rPr>
          <w:sz w:val="22"/>
          <w:szCs w:val="22"/>
          <w:lang w:val="eu-ES"/>
        </w:rPr>
        <w:t>que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r>
        <w:rPr>
          <w:sz w:val="22"/>
          <w:szCs w:val="22"/>
          <w:lang w:val="eu-ES"/>
        </w:rPr>
        <w:t xml:space="preserve">la </w:t>
      </w:r>
      <w:proofErr w:type="spellStart"/>
      <w:r>
        <w:rPr>
          <w:sz w:val="22"/>
          <w:szCs w:val="22"/>
          <w:lang w:val="eu-ES"/>
        </w:rPr>
        <w:t>propuesta</w:t>
      </w:r>
      <w:proofErr w:type="spellEnd"/>
      <w:r>
        <w:rPr>
          <w:sz w:val="22"/>
          <w:szCs w:val="22"/>
          <w:lang w:val="eu-ES"/>
        </w:rPr>
        <w:t xml:space="preserve"> </w:t>
      </w:r>
      <w:proofErr w:type="spellStart"/>
      <w:r>
        <w:rPr>
          <w:sz w:val="22"/>
          <w:szCs w:val="22"/>
          <w:lang w:val="eu-ES"/>
        </w:rPr>
        <w:t>ha</w:t>
      </w:r>
      <w:proofErr w:type="spellEnd"/>
      <w:r>
        <w:rPr>
          <w:sz w:val="22"/>
          <w:szCs w:val="22"/>
          <w:lang w:val="eu-ES"/>
        </w:rPr>
        <w:t xml:space="preserve"> de </w:t>
      </w:r>
      <w:proofErr w:type="spellStart"/>
      <w:r>
        <w:rPr>
          <w:sz w:val="22"/>
          <w:szCs w:val="22"/>
          <w:lang w:val="eu-ES"/>
        </w:rPr>
        <w:t>ser</w:t>
      </w:r>
      <w:proofErr w:type="spellEnd"/>
      <w:r>
        <w:rPr>
          <w:sz w:val="22"/>
          <w:szCs w:val="22"/>
          <w:lang w:val="eu-ES"/>
        </w:rPr>
        <w:t xml:space="preserve"> </w:t>
      </w:r>
      <w:proofErr w:type="spellStart"/>
      <w:r>
        <w:rPr>
          <w:sz w:val="22"/>
          <w:szCs w:val="22"/>
          <w:lang w:val="eu-ES"/>
        </w:rPr>
        <w:t>admitida</w:t>
      </w:r>
      <w:proofErr w:type="spellEnd"/>
      <w:r>
        <w:rPr>
          <w:sz w:val="22"/>
          <w:szCs w:val="22"/>
          <w:lang w:val="eu-ES"/>
        </w:rPr>
        <w:t xml:space="preserve">, </w:t>
      </w:r>
      <w:proofErr w:type="spellStart"/>
      <w:r>
        <w:rPr>
          <w:sz w:val="22"/>
          <w:szCs w:val="22"/>
          <w:lang w:val="eu-ES"/>
        </w:rPr>
        <w:t>pues</w:t>
      </w:r>
      <w:proofErr w:type="spellEnd"/>
      <w:r>
        <w:rPr>
          <w:sz w:val="22"/>
          <w:szCs w:val="22"/>
          <w:lang w:val="eu-ES"/>
        </w:rPr>
        <w:t xml:space="preserve"> </w:t>
      </w:r>
      <w:r w:rsidRPr="0025247E">
        <w:rPr>
          <w:sz w:val="22"/>
          <w:szCs w:val="22"/>
          <w:lang w:val="eu-ES"/>
        </w:rPr>
        <w:t xml:space="preserve">ese tipo de </w:t>
      </w:r>
      <w:proofErr w:type="spellStart"/>
      <w:r w:rsidRPr="0025247E">
        <w:rPr>
          <w:sz w:val="22"/>
          <w:szCs w:val="22"/>
          <w:lang w:val="eu-ES"/>
        </w:rPr>
        <w:t>incidencia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se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recoge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en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los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pliegos</w:t>
      </w:r>
      <w:proofErr w:type="spellEnd"/>
      <w:r w:rsidRPr="0025247E">
        <w:rPr>
          <w:sz w:val="22"/>
          <w:szCs w:val="22"/>
          <w:lang w:val="eu-ES"/>
        </w:rPr>
        <w:t xml:space="preserve"> y </w:t>
      </w:r>
      <w:proofErr w:type="spellStart"/>
      <w:r>
        <w:rPr>
          <w:sz w:val="22"/>
          <w:szCs w:val="22"/>
          <w:lang w:val="eu-ES"/>
        </w:rPr>
        <w:t>además</w:t>
      </w:r>
      <w:proofErr w:type="spellEnd"/>
      <w:r>
        <w:rPr>
          <w:sz w:val="22"/>
          <w:szCs w:val="22"/>
          <w:lang w:val="eu-ES"/>
        </w:rPr>
        <w:t xml:space="preserve"> </w:t>
      </w:r>
      <w:proofErr w:type="spellStart"/>
      <w:r>
        <w:rPr>
          <w:sz w:val="22"/>
          <w:szCs w:val="22"/>
          <w:lang w:val="eu-ES"/>
        </w:rPr>
        <w:t>señala</w:t>
      </w:r>
      <w:proofErr w:type="spellEnd"/>
      <w:r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que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se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presentaron</w:t>
      </w:r>
      <w:proofErr w:type="spellEnd"/>
      <w:r w:rsidRPr="0025247E">
        <w:rPr>
          <w:sz w:val="22"/>
          <w:szCs w:val="22"/>
          <w:lang w:val="eu-ES"/>
        </w:rPr>
        <w:t xml:space="preserve"> 8 </w:t>
      </w:r>
      <w:proofErr w:type="spellStart"/>
      <w:r w:rsidRPr="0025247E">
        <w:rPr>
          <w:sz w:val="22"/>
          <w:szCs w:val="22"/>
          <w:lang w:val="eu-ES"/>
        </w:rPr>
        <w:t>empresas</w:t>
      </w:r>
      <w:proofErr w:type="spellEnd"/>
      <w:r w:rsidRPr="0025247E">
        <w:rPr>
          <w:sz w:val="22"/>
          <w:szCs w:val="22"/>
          <w:lang w:val="eu-ES"/>
        </w:rPr>
        <w:t xml:space="preserve">, </w:t>
      </w:r>
      <w:r w:rsidRPr="0025247E">
        <w:rPr>
          <w:rFonts w:cs="Arial"/>
          <w:sz w:val="22"/>
          <w:szCs w:val="22"/>
          <w:lang w:val="eu-ES"/>
        </w:rPr>
        <w:t>“</w:t>
      </w:r>
      <w:proofErr w:type="spellStart"/>
      <w:r w:rsidRPr="0025247E">
        <w:rPr>
          <w:rFonts w:cs="Arial"/>
          <w:sz w:val="22"/>
          <w:szCs w:val="22"/>
          <w:lang w:val="eu-ES"/>
        </w:rPr>
        <w:t>Geo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obras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y </w:t>
      </w:r>
      <w:proofErr w:type="spellStart"/>
      <w:r w:rsidRPr="0025247E">
        <w:rPr>
          <w:rFonts w:cs="Arial"/>
          <w:sz w:val="22"/>
          <w:szCs w:val="22"/>
          <w:lang w:val="eu-ES"/>
        </w:rPr>
        <w:t>servicios</w:t>
      </w:r>
      <w:proofErr w:type="spellEnd"/>
      <w:r w:rsidRPr="0025247E">
        <w:rPr>
          <w:rFonts w:cs="Arial"/>
          <w:sz w:val="22"/>
          <w:szCs w:val="22"/>
          <w:lang w:val="eu-ES"/>
        </w:rPr>
        <w:t>”, “</w:t>
      </w:r>
      <w:proofErr w:type="spellStart"/>
      <w:r w:rsidRPr="0025247E">
        <w:rPr>
          <w:rFonts w:cs="Arial"/>
          <w:sz w:val="22"/>
          <w:szCs w:val="22"/>
          <w:lang w:val="eu-ES"/>
        </w:rPr>
        <w:t>Construcciones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Trati</w:t>
      </w:r>
      <w:proofErr w:type="spellEnd"/>
      <w:r w:rsidRPr="0025247E">
        <w:rPr>
          <w:rFonts w:cs="Arial"/>
          <w:sz w:val="22"/>
          <w:szCs w:val="22"/>
          <w:lang w:val="eu-ES"/>
        </w:rPr>
        <w:t>”, “</w:t>
      </w:r>
      <w:proofErr w:type="spellStart"/>
      <w:r w:rsidRPr="0025247E">
        <w:rPr>
          <w:rFonts w:cs="Arial"/>
          <w:sz w:val="22"/>
          <w:szCs w:val="22"/>
          <w:lang w:val="eu-ES"/>
        </w:rPr>
        <w:t>Construcciones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Arreta”, “</w:t>
      </w:r>
      <w:proofErr w:type="spellStart"/>
      <w:r w:rsidRPr="0025247E">
        <w:rPr>
          <w:rFonts w:cs="Arial"/>
          <w:sz w:val="22"/>
          <w:szCs w:val="22"/>
          <w:lang w:val="eu-ES"/>
        </w:rPr>
        <w:t>Construcciones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Goitu”, “</w:t>
      </w:r>
      <w:proofErr w:type="spellStart"/>
      <w:r w:rsidRPr="0025247E">
        <w:rPr>
          <w:rFonts w:cs="Arial"/>
          <w:sz w:val="22"/>
          <w:szCs w:val="22"/>
          <w:lang w:val="eu-ES"/>
        </w:rPr>
        <w:t>Nigurko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Eraikuntzak, S.L</w:t>
      </w:r>
      <w:proofErr w:type="spellStart"/>
      <w:r w:rsidRPr="0025247E">
        <w:rPr>
          <w:rFonts w:cs="Arial"/>
          <w:sz w:val="22"/>
          <w:szCs w:val="22"/>
          <w:lang w:val="eu-ES"/>
        </w:rPr>
        <w:t>.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”,” Giroa SAU”, “Manuel </w:t>
      </w:r>
      <w:proofErr w:type="spellStart"/>
      <w:r w:rsidRPr="0025247E">
        <w:rPr>
          <w:rFonts w:cs="Arial"/>
          <w:sz w:val="22"/>
          <w:szCs w:val="22"/>
          <w:lang w:val="eu-ES"/>
        </w:rPr>
        <w:t>Echaide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S.L</w:t>
      </w:r>
      <w:proofErr w:type="spellStart"/>
      <w:r w:rsidRPr="0025247E">
        <w:rPr>
          <w:rFonts w:cs="Arial"/>
          <w:sz w:val="22"/>
          <w:szCs w:val="22"/>
          <w:lang w:val="eu-ES"/>
        </w:rPr>
        <w:t>.</w:t>
      </w:r>
      <w:proofErr w:type="spellEnd"/>
      <w:r w:rsidRPr="0025247E">
        <w:rPr>
          <w:rFonts w:cs="Arial"/>
          <w:sz w:val="22"/>
          <w:szCs w:val="22"/>
          <w:lang w:val="eu-ES"/>
        </w:rPr>
        <w:t>”, y “</w:t>
      </w:r>
      <w:proofErr w:type="spellStart"/>
      <w:r w:rsidRPr="0025247E">
        <w:rPr>
          <w:rFonts w:cs="Arial"/>
          <w:sz w:val="22"/>
          <w:szCs w:val="22"/>
          <w:lang w:val="eu-ES"/>
        </w:rPr>
        <w:t>Construcciones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Artelu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y Ha</w:t>
      </w:r>
      <w:r>
        <w:rPr>
          <w:rFonts w:cs="Arial"/>
          <w:sz w:val="22"/>
          <w:szCs w:val="22"/>
          <w:lang w:val="eu-ES"/>
        </w:rPr>
        <w:t>r</w:t>
      </w:r>
      <w:r w:rsidRPr="0025247E">
        <w:rPr>
          <w:rFonts w:cs="Arial"/>
          <w:sz w:val="22"/>
          <w:szCs w:val="22"/>
          <w:lang w:val="eu-ES"/>
        </w:rPr>
        <w:t>gin”.</w:t>
      </w:r>
    </w:p>
    <w:p w:rsidR="00950137" w:rsidRPr="0025247E" w:rsidRDefault="00950137" w:rsidP="00950137">
      <w:pPr>
        <w:suppressAutoHyphens/>
        <w:rPr>
          <w:rFonts w:cs="Arial"/>
          <w:sz w:val="22"/>
          <w:szCs w:val="22"/>
          <w:lang w:val="eu-ES"/>
        </w:rPr>
      </w:pPr>
    </w:p>
    <w:p w:rsidR="00950137" w:rsidRDefault="00950137" w:rsidP="00950137">
      <w:pPr>
        <w:suppressAutoHyphens/>
        <w:rPr>
          <w:rFonts w:cs="Arial"/>
          <w:sz w:val="22"/>
          <w:szCs w:val="22"/>
          <w:lang w:val="eu-ES"/>
        </w:rPr>
      </w:pPr>
      <w:r w:rsidRPr="0025247E">
        <w:rPr>
          <w:sz w:val="22"/>
          <w:szCs w:val="22"/>
          <w:lang w:val="eu-ES"/>
        </w:rPr>
        <w:t xml:space="preserve">A </w:t>
      </w:r>
      <w:proofErr w:type="spellStart"/>
      <w:r w:rsidRPr="0025247E">
        <w:rPr>
          <w:sz w:val="22"/>
          <w:szCs w:val="22"/>
          <w:lang w:val="eu-ES"/>
        </w:rPr>
        <w:t>continuación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se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procede</w:t>
      </w:r>
      <w:proofErr w:type="spellEnd"/>
      <w:r w:rsidRPr="0025247E">
        <w:rPr>
          <w:sz w:val="22"/>
          <w:szCs w:val="22"/>
          <w:lang w:val="eu-ES"/>
        </w:rPr>
        <w:t xml:space="preserve"> a la </w:t>
      </w:r>
      <w:proofErr w:type="spellStart"/>
      <w:r w:rsidRPr="0025247E">
        <w:rPr>
          <w:sz w:val="22"/>
          <w:szCs w:val="22"/>
          <w:lang w:val="eu-ES"/>
        </w:rPr>
        <w:t>apertura</w:t>
      </w:r>
      <w:proofErr w:type="spellEnd"/>
      <w:r w:rsidRPr="0025247E">
        <w:rPr>
          <w:sz w:val="22"/>
          <w:szCs w:val="22"/>
          <w:lang w:val="eu-ES"/>
        </w:rPr>
        <w:t xml:space="preserve"> de </w:t>
      </w:r>
      <w:proofErr w:type="spellStart"/>
      <w:r w:rsidRPr="0025247E">
        <w:rPr>
          <w:sz w:val="22"/>
          <w:szCs w:val="22"/>
          <w:lang w:val="eu-ES"/>
        </w:rPr>
        <w:t>los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sobres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r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con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el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siguiente</w:t>
      </w:r>
      <w:proofErr w:type="spellEnd"/>
      <w:r w:rsidRPr="0025247E">
        <w:rPr>
          <w:sz w:val="22"/>
          <w:szCs w:val="22"/>
          <w:lang w:val="eu-ES"/>
        </w:rPr>
        <w:t xml:space="preserve"> </w:t>
      </w:r>
      <w:proofErr w:type="spellStart"/>
      <w:r w:rsidRPr="0025247E">
        <w:rPr>
          <w:sz w:val="22"/>
          <w:szCs w:val="22"/>
          <w:lang w:val="eu-ES"/>
        </w:rPr>
        <w:t>resultado</w:t>
      </w:r>
      <w:proofErr w:type="spellEnd"/>
      <w:r>
        <w:rPr>
          <w:sz w:val="22"/>
          <w:szCs w:val="22"/>
          <w:lang w:val="eu-ES"/>
        </w:rPr>
        <w:t>:</w:t>
      </w:r>
      <w:r w:rsidRPr="0025247E">
        <w:rPr>
          <w:rFonts w:cs="Arial"/>
          <w:sz w:val="22"/>
          <w:szCs w:val="22"/>
          <w:lang w:val="eu-ES"/>
        </w:rPr>
        <w:t xml:space="preserve"> “</w:t>
      </w:r>
      <w:proofErr w:type="spellStart"/>
      <w:r w:rsidRPr="0025247E">
        <w:rPr>
          <w:rFonts w:cs="Arial"/>
          <w:sz w:val="22"/>
          <w:szCs w:val="22"/>
          <w:lang w:val="eu-ES"/>
        </w:rPr>
        <w:t>Geo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obras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y </w:t>
      </w:r>
      <w:proofErr w:type="spellStart"/>
      <w:r w:rsidRPr="0025247E">
        <w:rPr>
          <w:rFonts w:cs="Arial"/>
          <w:sz w:val="22"/>
          <w:szCs w:val="22"/>
          <w:lang w:val="eu-ES"/>
        </w:rPr>
        <w:t>servicios</w:t>
      </w:r>
      <w:proofErr w:type="spellEnd"/>
      <w:r w:rsidRPr="0025247E">
        <w:rPr>
          <w:rFonts w:cs="Arial"/>
          <w:sz w:val="22"/>
          <w:szCs w:val="22"/>
          <w:lang w:val="eu-ES"/>
        </w:rPr>
        <w:t>”, “</w:t>
      </w:r>
      <w:proofErr w:type="spellStart"/>
      <w:r w:rsidRPr="0025247E">
        <w:rPr>
          <w:rFonts w:cs="Arial"/>
          <w:sz w:val="22"/>
          <w:szCs w:val="22"/>
          <w:lang w:val="eu-ES"/>
        </w:rPr>
        <w:t>Construcciones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Trati</w:t>
      </w:r>
      <w:proofErr w:type="spellEnd"/>
      <w:r w:rsidRPr="0025247E">
        <w:rPr>
          <w:rFonts w:cs="Arial"/>
          <w:sz w:val="22"/>
          <w:szCs w:val="22"/>
          <w:lang w:val="eu-ES"/>
        </w:rPr>
        <w:t>”, “</w:t>
      </w:r>
      <w:proofErr w:type="spellStart"/>
      <w:r w:rsidRPr="0025247E">
        <w:rPr>
          <w:rFonts w:cs="Arial"/>
          <w:sz w:val="22"/>
          <w:szCs w:val="22"/>
          <w:lang w:val="eu-ES"/>
        </w:rPr>
        <w:t>Construcciones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Arreta”, “</w:t>
      </w:r>
      <w:proofErr w:type="spellStart"/>
      <w:r w:rsidRPr="0025247E">
        <w:rPr>
          <w:rFonts w:cs="Arial"/>
          <w:sz w:val="22"/>
          <w:szCs w:val="22"/>
          <w:lang w:val="eu-ES"/>
        </w:rPr>
        <w:t>Construcciones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Goitu”, “</w:t>
      </w:r>
      <w:proofErr w:type="spellStart"/>
      <w:r w:rsidRPr="0025247E">
        <w:rPr>
          <w:rFonts w:cs="Arial"/>
          <w:sz w:val="22"/>
          <w:szCs w:val="22"/>
          <w:lang w:val="eu-ES"/>
        </w:rPr>
        <w:t>Nigurko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Eraikuntzak, S.L</w:t>
      </w:r>
      <w:proofErr w:type="spellStart"/>
      <w:r w:rsidRPr="0025247E">
        <w:rPr>
          <w:rFonts w:cs="Arial"/>
          <w:sz w:val="22"/>
          <w:szCs w:val="22"/>
          <w:lang w:val="eu-ES"/>
        </w:rPr>
        <w:t>.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”,” Giroa SAU”, “Manuel </w:t>
      </w:r>
      <w:proofErr w:type="spellStart"/>
      <w:r w:rsidRPr="0025247E">
        <w:rPr>
          <w:rFonts w:cs="Arial"/>
          <w:sz w:val="22"/>
          <w:szCs w:val="22"/>
          <w:lang w:val="eu-ES"/>
        </w:rPr>
        <w:t>Echaide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S.L</w:t>
      </w:r>
      <w:proofErr w:type="spellStart"/>
      <w:r w:rsidRPr="0025247E">
        <w:rPr>
          <w:rFonts w:cs="Arial"/>
          <w:sz w:val="22"/>
          <w:szCs w:val="22"/>
          <w:lang w:val="eu-ES"/>
        </w:rPr>
        <w:t>.</w:t>
      </w:r>
      <w:proofErr w:type="spellEnd"/>
      <w:r w:rsidRPr="0025247E">
        <w:rPr>
          <w:rFonts w:cs="Arial"/>
          <w:sz w:val="22"/>
          <w:szCs w:val="22"/>
          <w:lang w:val="eu-ES"/>
        </w:rPr>
        <w:t>”, y “</w:t>
      </w:r>
      <w:proofErr w:type="spellStart"/>
      <w:r w:rsidRPr="0025247E">
        <w:rPr>
          <w:rFonts w:cs="Arial"/>
          <w:sz w:val="22"/>
          <w:szCs w:val="22"/>
          <w:lang w:val="eu-ES"/>
        </w:rPr>
        <w:t>Construcciones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Artelu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y Ha</w:t>
      </w:r>
      <w:r>
        <w:rPr>
          <w:rFonts w:cs="Arial"/>
          <w:sz w:val="22"/>
          <w:szCs w:val="22"/>
          <w:lang w:val="eu-ES"/>
        </w:rPr>
        <w:t>r</w:t>
      </w:r>
      <w:r w:rsidRPr="0025247E">
        <w:rPr>
          <w:rFonts w:cs="Arial"/>
          <w:sz w:val="22"/>
          <w:szCs w:val="22"/>
          <w:lang w:val="eu-ES"/>
        </w:rPr>
        <w:t xml:space="preserve">gin” han </w:t>
      </w:r>
      <w:proofErr w:type="spellStart"/>
      <w:r w:rsidRPr="0025247E">
        <w:rPr>
          <w:rFonts w:cs="Arial"/>
          <w:sz w:val="22"/>
          <w:szCs w:val="22"/>
          <w:lang w:val="eu-ES"/>
        </w:rPr>
        <w:t>presentado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la </w:t>
      </w:r>
      <w:proofErr w:type="spellStart"/>
      <w:r w:rsidRPr="0025247E">
        <w:rPr>
          <w:rFonts w:cs="Arial"/>
          <w:sz w:val="22"/>
          <w:szCs w:val="22"/>
          <w:lang w:val="eu-ES"/>
        </w:rPr>
        <w:t>documentación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solicitada</w:t>
      </w:r>
      <w:proofErr w:type="spellEnd"/>
      <w:r w:rsidRPr="0025247E">
        <w:rPr>
          <w:rFonts w:cs="Arial"/>
          <w:sz w:val="22"/>
          <w:szCs w:val="22"/>
          <w:lang w:val="eu-ES"/>
        </w:rPr>
        <w:t>.</w:t>
      </w:r>
    </w:p>
    <w:p w:rsidR="00950137" w:rsidRPr="0025247E" w:rsidRDefault="00950137" w:rsidP="00950137">
      <w:pPr>
        <w:suppressAutoHyphens/>
        <w:rPr>
          <w:rFonts w:cs="Arial"/>
          <w:sz w:val="22"/>
          <w:szCs w:val="22"/>
          <w:lang w:val="eu-ES"/>
        </w:rPr>
      </w:pPr>
    </w:p>
    <w:p w:rsidR="00950137" w:rsidRDefault="00950137" w:rsidP="00950137">
      <w:pPr>
        <w:suppressAutoHyphens/>
        <w:rPr>
          <w:rFonts w:cs="Arial"/>
          <w:sz w:val="22"/>
          <w:szCs w:val="22"/>
          <w:lang w:val="eu-ES"/>
        </w:rPr>
      </w:pPr>
      <w:proofErr w:type="spellStart"/>
      <w:r w:rsidRPr="0025247E">
        <w:rPr>
          <w:rFonts w:cs="Arial"/>
          <w:sz w:val="22"/>
          <w:szCs w:val="22"/>
          <w:lang w:val="eu-ES"/>
        </w:rPr>
        <w:t>Tras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lo </w:t>
      </w:r>
      <w:proofErr w:type="spellStart"/>
      <w:r w:rsidRPr="0025247E">
        <w:rPr>
          <w:rFonts w:cs="Arial"/>
          <w:sz w:val="22"/>
          <w:szCs w:val="22"/>
          <w:lang w:val="eu-ES"/>
        </w:rPr>
        <w:t>anterior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, </w:t>
      </w:r>
      <w:proofErr w:type="spellStart"/>
      <w:r w:rsidRPr="0025247E">
        <w:rPr>
          <w:rFonts w:cs="Arial"/>
          <w:sz w:val="22"/>
          <w:szCs w:val="22"/>
          <w:lang w:val="eu-ES"/>
        </w:rPr>
        <w:t>se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abren </w:t>
      </w:r>
      <w:proofErr w:type="spellStart"/>
      <w:r w:rsidRPr="0025247E">
        <w:rPr>
          <w:rFonts w:cs="Arial"/>
          <w:sz w:val="22"/>
          <w:szCs w:val="22"/>
          <w:lang w:val="eu-ES"/>
        </w:rPr>
        <w:t>los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sobres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“B</w:t>
      </w:r>
      <w:proofErr w:type="spellStart"/>
      <w:r w:rsidRPr="0025247E">
        <w:rPr>
          <w:rFonts w:cs="Arial"/>
          <w:sz w:val="22"/>
          <w:szCs w:val="22"/>
          <w:lang w:val="eu-ES"/>
        </w:rPr>
        <w:t>”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con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el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siguiente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resultado</w:t>
      </w:r>
      <w:proofErr w:type="spellEnd"/>
      <w:r w:rsidRPr="0025247E">
        <w:rPr>
          <w:rFonts w:cs="Arial"/>
          <w:sz w:val="22"/>
          <w:szCs w:val="22"/>
          <w:lang w:val="eu-ES"/>
        </w:rPr>
        <w:t>:</w:t>
      </w:r>
    </w:p>
    <w:tbl>
      <w:tblPr>
        <w:tblW w:w="4656" w:type="dxa"/>
        <w:tblCellMar>
          <w:left w:w="70" w:type="dxa"/>
          <w:right w:w="70" w:type="dxa"/>
        </w:tblCellMar>
        <w:tblLook w:val="04A0"/>
      </w:tblPr>
      <w:tblGrid>
        <w:gridCol w:w="1916"/>
        <w:gridCol w:w="479"/>
        <w:gridCol w:w="557"/>
        <w:gridCol w:w="788"/>
        <w:gridCol w:w="557"/>
        <w:gridCol w:w="732"/>
      </w:tblGrid>
      <w:tr w:rsidR="00950137" w:rsidRPr="00BD09F9" w:rsidTr="009C0444">
        <w:trPr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left"/>
              <w:rPr>
                <w:rFonts w:ascii="Calibri" w:hAnsi="Calibri"/>
                <w:b/>
                <w:bCs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b/>
                <w:bCs/>
                <w:color w:val="000000"/>
                <w:spacing w:val="0"/>
                <w:sz w:val="16"/>
                <w:szCs w:val="16"/>
                <w:lang w:eastAsia="es-ES"/>
              </w:rPr>
              <w:t>ENPRESEN IZENAK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center"/>
              <w:rPr>
                <w:rFonts w:ascii="Calibri" w:hAnsi="Calibri"/>
                <w:b/>
                <w:bCs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b/>
                <w:bCs/>
                <w:color w:val="000000"/>
                <w:spacing w:val="0"/>
                <w:sz w:val="16"/>
                <w:szCs w:val="16"/>
                <w:lang w:eastAsia="es-ES"/>
              </w:rPr>
              <w:t>EPEA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center"/>
              <w:rPr>
                <w:rFonts w:ascii="Calibri" w:hAnsi="Calibri"/>
                <w:b/>
                <w:bCs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b/>
                <w:bCs/>
                <w:color w:val="000000"/>
                <w:spacing w:val="0"/>
                <w:sz w:val="16"/>
                <w:szCs w:val="16"/>
                <w:lang w:eastAsia="es-ES"/>
              </w:rPr>
              <w:t>PUNT.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center"/>
              <w:rPr>
                <w:rFonts w:ascii="Calibri" w:hAnsi="Calibri"/>
                <w:b/>
                <w:bCs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b/>
                <w:bCs/>
                <w:color w:val="000000"/>
                <w:spacing w:val="0"/>
                <w:sz w:val="16"/>
                <w:szCs w:val="16"/>
                <w:lang w:eastAsia="es-ES"/>
              </w:rPr>
              <w:t>PREZIOA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center"/>
              <w:rPr>
                <w:rFonts w:ascii="Calibri" w:hAnsi="Calibri"/>
                <w:b/>
                <w:bCs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b/>
                <w:bCs/>
                <w:color w:val="000000"/>
                <w:spacing w:val="0"/>
                <w:sz w:val="16"/>
                <w:szCs w:val="16"/>
                <w:lang w:eastAsia="es-ES"/>
              </w:rPr>
              <w:t>PUNT.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center"/>
              <w:rPr>
                <w:rFonts w:ascii="Calibri" w:hAnsi="Calibri"/>
                <w:b/>
                <w:bCs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b/>
                <w:bCs/>
                <w:color w:val="000000"/>
                <w:spacing w:val="0"/>
                <w:sz w:val="16"/>
                <w:szCs w:val="16"/>
                <w:lang w:eastAsia="es-ES"/>
              </w:rPr>
              <w:t>GUZTIRA</w:t>
            </w:r>
          </w:p>
        </w:tc>
      </w:tr>
      <w:tr w:rsidR="00950137" w:rsidRPr="00BD09F9" w:rsidTr="009C0444">
        <w:trPr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lef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GEO OBRAS Y SERVICIOS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center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51.380,01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center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10,00</w:t>
            </w:r>
          </w:p>
        </w:tc>
      </w:tr>
      <w:tr w:rsidR="00950137" w:rsidRPr="00BD09F9" w:rsidTr="009C0444">
        <w:trPr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lef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CONSTRUCCIONES TRATI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center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68.906,58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center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2,45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4,45</w:t>
            </w:r>
          </w:p>
        </w:tc>
      </w:tr>
      <w:tr w:rsidR="00950137" w:rsidRPr="00BD09F9" w:rsidTr="009C0444">
        <w:trPr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lef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CONSTRUCCIONES ARRETA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center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73.736,04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center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0,92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2,92</w:t>
            </w:r>
          </w:p>
        </w:tc>
      </w:tr>
      <w:tr w:rsidR="00950137" w:rsidRPr="00BD09F9" w:rsidTr="009C0444">
        <w:trPr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lef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CONSTRUCCIONES GOITU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center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65.351,48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center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3,57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5,57</w:t>
            </w:r>
          </w:p>
        </w:tc>
      </w:tr>
      <w:tr w:rsidR="00950137" w:rsidRPr="00BD09F9" w:rsidTr="009C0444">
        <w:trPr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lef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NIGURKO ERAIKUNTZ</w:t>
            </w:r>
            <w:r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.</w:t>
            </w: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, S.L.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center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60.537,22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center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5,10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6,10</w:t>
            </w:r>
          </w:p>
        </w:tc>
      </w:tr>
      <w:tr w:rsidR="00950137" w:rsidRPr="00BD09F9" w:rsidTr="009C0444">
        <w:trPr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lef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GIROA SAU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center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60.466,35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center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5,12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7,12</w:t>
            </w:r>
          </w:p>
        </w:tc>
      </w:tr>
      <w:tr w:rsidR="00950137" w:rsidRPr="00BD09F9" w:rsidTr="009C0444">
        <w:trPr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lef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MANUEL ECHAIDE, S.L.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center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60.095,30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center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5,24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7,24</w:t>
            </w:r>
          </w:p>
        </w:tc>
      </w:tr>
      <w:tr w:rsidR="00950137" w:rsidRPr="00BD09F9" w:rsidTr="009C0444">
        <w:trPr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lef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CONS</w:t>
            </w:r>
            <w:r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.</w:t>
            </w: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 xml:space="preserve"> ARTELU Y HA</w:t>
            </w:r>
            <w:r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R</w:t>
            </w: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GIN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center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65.134,99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center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3,64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37" w:rsidRPr="00BD09F9" w:rsidRDefault="00950137" w:rsidP="009C0444">
            <w:pPr>
              <w:jc w:val="right"/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</w:pPr>
            <w:r w:rsidRPr="00BD09F9">
              <w:rPr>
                <w:rFonts w:ascii="Calibri" w:hAnsi="Calibri"/>
                <w:color w:val="000000"/>
                <w:spacing w:val="0"/>
                <w:sz w:val="16"/>
                <w:szCs w:val="16"/>
                <w:lang w:eastAsia="es-ES"/>
              </w:rPr>
              <w:t>5,64</w:t>
            </w:r>
          </w:p>
        </w:tc>
      </w:tr>
    </w:tbl>
    <w:p w:rsidR="00950137" w:rsidRPr="00BD09F9" w:rsidRDefault="00950137" w:rsidP="00950137">
      <w:pPr>
        <w:suppressAutoHyphens/>
        <w:rPr>
          <w:rFonts w:cs="Arial"/>
          <w:sz w:val="22"/>
          <w:szCs w:val="22"/>
        </w:rPr>
      </w:pPr>
    </w:p>
    <w:p w:rsidR="00950137" w:rsidRPr="0025247E" w:rsidRDefault="00950137" w:rsidP="00950137">
      <w:pPr>
        <w:suppressAutoHyphens/>
        <w:rPr>
          <w:rFonts w:cs="Arial"/>
          <w:sz w:val="22"/>
          <w:szCs w:val="22"/>
          <w:lang w:val="eu-ES"/>
        </w:rPr>
      </w:pPr>
      <w:proofErr w:type="spellStart"/>
      <w:r w:rsidRPr="0025247E">
        <w:rPr>
          <w:rFonts w:cs="Arial"/>
          <w:sz w:val="22"/>
          <w:szCs w:val="22"/>
          <w:lang w:val="eu-ES"/>
        </w:rPr>
        <w:t>Tras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lo </w:t>
      </w:r>
      <w:proofErr w:type="spellStart"/>
      <w:r w:rsidRPr="0025247E">
        <w:rPr>
          <w:rFonts w:cs="Arial"/>
          <w:sz w:val="22"/>
          <w:szCs w:val="22"/>
          <w:lang w:val="eu-ES"/>
        </w:rPr>
        <w:t>que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se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acuerda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trasladar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lo </w:t>
      </w:r>
      <w:proofErr w:type="spellStart"/>
      <w:r w:rsidRPr="0025247E">
        <w:rPr>
          <w:rFonts w:cs="Arial"/>
          <w:sz w:val="22"/>
          <w:szCs w:val="22"/>
          <w:lang w:val="eu-ES"/>
        </w:rPr>
        <w:t>propuesta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de </w:t>
      </w:r>
      <w:proofErr w:type="spellStart"/>
      <w:r w:rsidRPr="0025247E">
        <w:rPr>
          <w:rFonts w:cs="Arial"/>
          <w:sz w:val="22"/>
          <w:szCs w:val="22"/>
          <w:lang w:val="eu-ES"/>
        </w:rPr>
        <w:t>contratación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provisional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a </w:t>
      </w:r>
      <w:proofErr w:type="spellStart"/>
      <w:r w:rsidRPr="0025247E">
        <w:rPr>
          <w:rFonts w:cs="Arial"/>
          <w:sz w:val="22"/>
          <w:szCs w:val="22"/>
          <w:lang w:val="eu-ES"/>
        </w:rPr>
        <w:t>favor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de la </w:t>
      </w:r>
      <w:proofErr w:type="spellStart"/>
      <w:r w:rsidRPr="0025247E">
        <w:rPr>
          <w:rFonts w:cs="Arial"/>
          <w:sz w:val="22"/>
          <w:szCs w:val="22"/>
          <w:lang w:val="eu-ES"/>
        </w:rPr>
        <w:t>empresa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“</w:t>
      </w:r>
      <w:proofErr w:type="spellStart"/>
      <w:r w:rsidRPr="0025247E">
        <w:rPr>
          <w:rFonts w:cs="Arial"/>
          <w:sz w:val="22"/>
          <w:szCs w:val="22"/>
          <w:lang w:val="eu-ES"/>
        </w:rPr>
        <w:t>Geo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, </w:t>
      </w:r>
      <w:proofErr w:type="spellStart"/>
      <w:r w:rsidRPr="0025247E">
        <w:rPr>
          <w:rFonts w:cs="Arial"/>
          <w:sz w:val="22"/>
          <w:szCs w:val="22"/>
          <w:lang w:val="eu-ES"/>
        </w:rPr>
        <w:t>obras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y </w:t>
      </w:r>
      <w:proofErr w:type="spellStart"/>
      <w:r w:rsidRPr="0025247E">
        <w:rPr>
          <w:rFonts w:cs="Arial"/>
          <w:sz w:val="22"/>
          <w:szCs w:val="22"/>
          <w:lang w:val="eu-ES"/>
        </w:rPr>
        <w:t>servicios</w:t>
      </w:r>
      <w:proofErr w:type="spellEnd"/>
      <w:r w:rsidR="00B61820">
        <w:rPr>
          <w:rFonts w:cs="Arial"/>
          <w:sz w:val="22"/>
          <w:szCs w:val="22"/>
          <w:lang w:val="eu-ES"/>
        </w:rPr>
        <w:t>”</w:t>
      </w:r>
      <w:r w:rsidRPr="0025247E">
        <w:rPr>
          <w:rFonts w:cs="Arial"/>
          <w:sz w:val="22"/>
          <w:szCs w:val="22"/>
          <w:lang w:val="eu-ES"/>
        </w:rPr>
        <w:t>.</w:t>
      </w:r>
    </w:p>
    <w:p w:rsidR="00950137" w:rsidRDefault="00950137" w:rsidP="00950137">
      <w:pPr>
        <w:suppressAutoHyphens/>
        <w:rPr>
          <w:rFonts w:cs="Arial"/>
          <w:sz w:val="22"/>
          <w:szCs w:val="22"/>
          <w:lang w:val="eu-ES"/>
        </w:rPr>
      </w:pPr>
    </w:p>
    <w:p w:rsidR="00950137" w:rsidRDefault="00950137" w:rsidP="00950137">
      <w:pPr>
        <w:suppressAutoHyphens/>
        <w:rPr>
          <w:rFonts w:cs="Arial"/>
          <w:sz w:val="22"/>
          <w:szCs w:val="22"/>
          <w:lang w:val="eu-ES"/>
        </w:rPr>
      </w:pPr>
    </w:p>
    <w:p w:rsidR="00950137" w:rsidRDefault="00950137" w:rsidP="00950137">
      <w:pPr>
        <w:suppressAutoHyphens/>
        <w:rPr>
          <w:rFonts w:cs="Arial"/>
          <w:sz w:val="22"/>
          <w:szCs w:val="22"/>
          <w:lang w:val="eu-ES"/>
        </w:rPr>
      </w:pPr>
    </w:p>
    <w:p w:rsidR="00950137" w:rsidRPr="0025247E" w:rsidRDefault="00950137" w:rsidP="00950137">
      <w:pPr>
        <w:suppressAutoHyphens/>
        <w:rPr>
          <w:rFonts w:cs="Arial"/>
          <w:sz w:val="22"/>
          <w:szCs w:val="22"/>
          <w:lang w:val="eu-ES"/>
        </w:rPr>
      </w:pPr>
      <w:proofErr w:type="spellStart"/>
      <w:r w:rsidRPr="0025247E">
        <w:rPr>
          <w:rFonts w:cs="Arial"/>
          <w:sz w:val="22"/>
          <w:szCs w:val="22"/>
          <w:lang w:val="eu-ES"/>
        </w:rPr>
        <w:t>Siendo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las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11:30, </w:t>
      </w:r>
      <w:proofErr w:type="spellStart"/>
      <w:r w:rsidRPr="0025247E">
        <w:rPr>
          <w:rFonts w:cs="Arial"/>
          <w:sz w:val="22"/>
          <w:szCs w:val="22"/>
          <w:lang w:val="eu-ES"/>
        </w:rPr>
        <w:t>el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Presidente de la Junta de </w:t>
      </w:r>
      <w:proofErr w:type="spellStart"/>
      <w:r w:rsidRPr="0025247E">
        <w:rPr>
          <w:rFonts w:cs="Arial"/>
          <w:sz w:val="22"/>
          <w:szCs w:val="22"/>
          <w:lang w:val="eu-ES"/>
        </w:rPr>
        <w:t>Gobierno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da </w:t>
      </w:r>
      <w:proofErr w:type="spellStart"/>
      <w:r w:rsidRPr="0025247E">
        <w:rPr>
          <w:rFonts w:cs="Arial"/>
          <w:sz w:val="22"/>
          <w:szCs w:val="22"/>
          <w:lang w:val="eu-ES"/>
        </w:rPr>
        <w:t>por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finalizado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el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acto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y </w:t>
      </w:r>
      <w:proofErr w:type="spellStart"/>
      <w:r w:rsidRPr="0025247E">
        <w:rPr>
          <w:rFonts w:cs="Arial"/>
          <w:sz w:val="22"/>
          <w:szCs w:val="22"/>
          <w:lang w:val="eu-ES"/>
        </w:rPr>
        <w:t>yo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el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secretario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doy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</w:t>
      </w:r>
      <w:proofErr w:type="spellStart"/>
      <w:r w:rsidRPr="0025247E">
        <w:rPr>
          <w:rFonts w:cs="Arial"/>
          <w:sz w:val="22"/>
          <w:szCs w:val="22"/>
          <w:lang w:val="eu-ES"/>
        </w:rPr>
        <w:t>fé</w:t>
      </w:r>
      <w:proofErr w:type="spellEnd"/>
      <w:r w:rsidRPr="0025247E">
        <w:rPr>
          <w:rFonts w:cs="Arial"/>
          <w:sz w:val="22"/>
          <w:szCs w:val="22"/>
          <w:lang w:val="eu-ES"/>
        </w:rPr>
        <w:t xml:space="preserve"> de </w:t>
      </w:r>
      <w:proofErr w:type="spellStart"/>
      <w:r w:rsidRPr="0025247E">
        <w:rPr>
          <w:rFonts w:cs="Arial"/>
          <w:sz w:val="22"/>
          <w:szCs w:val="22"/>
          <w:lang w:val="eu-ES"/>
        </w:rPr>
        <w:t>ello</w:t>
      </w:r>
      <w:proofErr w:type="spellEnd"/>
      <w:r w:rsidRPr="0025247E">
        <w:rPr>
          <w:rFonts w:cs="Arial"/>
          <w:sz w:val="22"/>
          <w:szCs w:val="22"/>
          <w:lang w:val="eu-ES"/>
        </w:rPr>
        <w:t>.</w:t>
      </w:r>
    </w:p>
    <w:p w:rsidR="00950137" w:rsidRPr="0025247E" w:rsidRDefault="00950137" w:rsidP="00950137">
      <w:pPr>
        <w:rPr>
          <w:sz w:val="22"/>
          <w:szCs w:val="22"/>
          <w:lang w:val="eu-ES"/>
        </w:rPr>
      </w:pPr>
    </w:p>
    <w:p w:rsidR="00E24686" w:rsidRPr="00950137" w:rsidRDefault="00E24686">
      <w:pPr>
        <w:rPr>
          <w:lang w:val="eu-ES"/>
        </w:rPr>
      </w:pPr>
    </w:p>
    <w:sectPr w:rsidR="00E24686" w:rsidRPr="00950137" w:rsidSect="00E24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0137"/>
    <w:rsid w:val="00950137"/>
    <w:rsid w:val="00B12A52"/>
    <w:rsid w:val="00B61820"/>
    <w:rsid w:val="00E2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3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Residencia de Ancianos Mizpirualde</dc:creator>
  <cp:keywords/>
  <dc:description/>
  <cp:lastModifiedBy>Residencia de Ancianos Mizpirualde</cp:lastModifiedBy>
  <cp:revision>2</cp:revision>
  <dcterms:created xsi:type="dcterms:W3CDTF">2012-08-22T10:27:00Z</dcterms:created>
  <dcterms:modified xsi:type="dcterms:W3CDTF">2012-08-22T11:28:00Z</dcterms:modified>
</cp:coreProperties>
</file>